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311F" w14:textId="4D4158C9" w:rsidR="000B4E0D" w:rsidRPr="00840F2E" w:rsidRDefault="000B4E0D" w:rsidP="00797E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 wp14:anchorId="762A1526" wp14:editId="477A3735">
            <wp:extent cx="1732915" cy="1732915"/>
            <wp:effectExtent l="0" t="0" r="635" b="635"/>
            <wp:docPr id="1952810970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10970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F2E">
        <w:rPr>
          <w:rFonts w:ascii="Arial" w:hAnsi="Arial" w:cs="Arial"/>
          <w:b/>
          <w:bCs/>
          <w:sz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444A4D" w14:textId="77777777" w:rsidR="000B4E0D" w:rsidRPr="00840F2E" w:rsidRDefault="000B4E0D" w:rsidP="000B4E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lang w:val="en-US"/>
        </w:rPr>
      </w:pPr>
    </w:p>
    <w:p w14:paraId="7BE35638" w14:textId="77777777" w:rsidR="000B4E0D" w:rsidRPr="00840F2E" w:rsidRDefault="000B4E0D" w:rsidP="000B4E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lang w:val="en-US"/>
        </w:rPr>
      </w:pPr>
    </w:p>
    <w:p w14:paraId="5B6F91E9" w14:textId="77777777" w:rsidR="000B4E0D" w:rsidRDefault="000B4E0D" w:rsidP="000B4E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I</w:t>
      </w:r>
      <w:r w:rsidRPr="00F05823">
        <w:rPr>
          <w:rFonts w:ascii="Arial" w:hAnsi="Arial" w:cs="Arial"/>
          <w:b/>
          <w:bCs/>
          <w:sz w:val="20"/>
          <w:lang w:val="en-GB"/>
        </w:rPr>
        <w:t xml:space="preserve">nformation regarding the total number of voting rights and </w:t>
      </w:r>
    </w:p>
    <w:p w14:paraId="623D8351" w14:textId="4D106764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lang w:val="en-GB"/>
        </w:rPr>
      </w:pPr>
      <w:r w:rsidRPr="00F05823">
        <w:rPr>
          <w:rFonts w:ascii="Arial" w:hAnsi="Arial" w:cs="Arial"/>
          <w:b/>
          <w:bCs/>
          <w:sz w:val="20"/>
          <w:lang w:val="en-GB"/>
        </w:rPr>
        <w:t>total number of shares of the Company</w:t>
      </w:r>
      <w:r>
        <w:rPr>
          <w:rFonts w:ascii="Arial" w:hAnsi="Arial" w:cs="Arial"/>
          <w:b/>
          <w:bCs/>
          <w:sz w:val="20"/>
          <w:lang w:val="en-GB"/>
        </w:rPr>
        <w:t xml:space="preserve"> as of </w:t>
      </w:r>
      <w:r w:rsidR="00AC2CB9">
        <w:rPr>
          <w:rFonts w:ascii="Arial" w:hAnsi="Arial" w:cs="Arial"/>
          <w:b/>
          <w:bCs/>
          <w:sz w:val="20"/>
          <w:lang w:val="en-GB"/>
        </w:rPr>
        <w:t>Dec</w:t>
      </w:r>
      <w:r w:rsidR="004636EB">
        <w:rPr>
          <w:rFonts w:ascii="Arial" w:hAnsi="Arial" w:cs="Arial"/>
          <w:b/>
          <w:bCs/>
          <w:sz w:val="20"/>
          <w:lang w:val="en-GB"/>
        </w:rPr>
        <w:t>ember</w:t>
      </w:r>
      <w:r w:rsidR="00A15C76">
        <w:rPr>
          <w:rFonts w:ascii="Arial" w:hAnsi="Arial" w:cs="Arial"/>
          <w:b/>
          <w:bCs/>
          <w:sz w:val="20"/>
          <w:lang w:val="en-GB"/>
        </w:rPr>
        <w:t xml:space="preserve"> </w:t>
      </w:r>
      <w:r w:rsidR="00454B0E">
        <w:rPr>
          <w:rFonts w:ascii="Arial" w:hAnsi="Arial" w:cs="Arial"/>
          <w:b/>
          <w:bCs/>
          <w:sz w:val="20"/>
          <w:lang w:val="en-GB"/>
        </w:rPr>
        <w:t>3</w:t>
      </w:r>
      <w:r w:rsidR="00AC2CB9">
        <w:rPr>
          <w:rFonts w:ascii="Arial" w:hAnsi="Arial" w:cs="Arial"/>
          <w:b/>
          <w:bCs/>
          <w:sz w:val="20"/>
          <w:lang w:val="en-GB"/>
        </w:rPr>
        <w:t>1</w:t>
      </w:r>
      <w:r w:rsidR="00A15C76">
        <w:rPr>
          <w:rFonts w:ascii="Arial" w:hAnsi="Arial" w:cs="Arial"/>
          <w:b/>
          <w:bCs/>
          <w:sz w:val="20"/>
          <w:lang w:val="en-GB"/>
        </w:rPr>
        <w:t>, 20</w:t>
      </w:r>
      <w:r>
        <w:rPr>
          <w:rFonts w:ascii="Arial" w:hAnsi="Arial" w:cs="Arial"/>
          <w:b/>
          <w:bCs/>
          <w:sz w:val="20"/>
          <w:lang w:val="en-GB"/>
        </w:rPr>
        <w:t>2</w:t>
      </w:r>
      <w:r w:rsidR="00A15C76">
        <w:rPr>
          <w:rFonts w:ascii="Arial" w:hAnsi="Arial" w:cs="Arial"/>
          <w:b/>
          <w:bCs/>
          <w:sz w:val="20"/>
          <w:lang w:val="en-GB"/>
        </w:rPr>
        <w:t>5</w:t>
      </w:r>
    </w:p>
    <w:p w14:paraId="6CE394F0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lang w:val="en-GB"/>
        </w:rPr>
      </w:pPr>
    </w:p>
    <w:p w14:paraId="71D5A535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0"/>
          <w:lang w:val="en-GB"/>
        </w:rPr>
      </w:pPr>
      <w:r w:rsidRPr="00F05823">
        <w:rPr>
          <w:rFonts w:ascii="Arial" w:hAnsi="Arial" w:cs="Arial"/>
          <w:bCs/>
          <w:sz w:val="20"/>
          <w:lang w:val="en-GB"/>
        </w:rPr>
        <w:t>(Article 223-16 of the General R</w:t>
      </w:r>
      <w:r>
        <w:rPr>
          <w:rFonts w:ascii="Arial" w:hAnsi="Arial" w:cs="Arial"/>
          <w:bCs/>
          <w:sz w:val="20"/>
          <w:lang w:val="en-GB"/>
        </w:rPr>
        <w:t>e</w:t>
      </w:r>
      <w:r w:rsidRPr="00F05823">
        <w:rPr>
          <w:rFonts w:ascii="Arial" w:hAnsi="Arial" w:cs="Arial"/>
          <w:bCs/>
          <w:sz w:val="20"/>
          <w:lang w:val="en-GB"/>
        </w:rPr>
        <w:t>gulation</w:t>
      </w:r>
      <w:r>
        <w:rPr>
          <w:rFonts w:ascii="Arial" w:hAnsi="Arial" w:cs="Arial"/>
          <w:bCs/>
          <w:sz w:val="20"/>
          <w:lang w:val="en-GB"/>
        </w:rPr>
        <w:t>s</w:t>
      </w:r>
      <w:r w:rsidRPr="00F05823">
        <w:rPr>
          <w:rFonts w:ascii="Arial" w:hAnsi="Arial" w:cs="Arial"/>
          <w:bCs/>
          <w:sz w:val="20"/>
          <w:lang w:val="en-GB"/>
        </w:rPr>
        <w:t xml:space="preserve"> of the </w:t>
      </w:r>
      <w:r w:rsidRPr="00F05823">
        <w:rPr>
          <w:rFonts w:ascii="Arial" w:hAnsi="Arial" w:cs="Arial"/>
          <w:bCs/>
          <w:i/>
          <w:sz w:val="20"/>
          <w:lang w:val="en-GB"/>
        </w:rPr>
        <w:t xml:space="preserve">Autorité des </w:t>
      </w:r>
      <w:proofErr w:type="spellStart"/>
      <w:r w:rsidRPr="00F05823">
        <w:rPr>
          <w:rFonts w:ascii="Arial" w:hAnsi="Arial" w:cs="Arial"/>
          <w:bCs/>
          <w:i/>
          <w:sz w:val="20"/>
          <w:lang w:val="en-GB"/>
        </w:rPr>
        <w:t>Marchés</w:t>
      </w:r>
      <w:proofErr w:type="spellEnd"/>
      <w:r w:rsidRPr="00F05823">
        <w:rPr>
          <w:rFonts w:ascii="Arial" w:hAnsi="Arial" w:cs="Arial"/>
          <w:bCs/>
          <w:i/>
          <w:sz w:val="20"/>
          <w:lang w:val="en-GB"/>
        </w:rPr>
        <w:t xml:space="preserve"> Financiers</w:t>
      </w:r>
      <w:r w:rsidRPr="00F05823">
        <w:rPr>
          <w:rFonts w:ascii="Arial" w:hAnsi="Arial" w:cs="Arial"/>
          <w:bCs/>
          <w:sz w:val="20"/>
          <w:lang w:val="en-GB"/>
        </w:rPr>
        <w:t>)</w:t>
      </w:r>
    </w:p>
    <w:p w14:paraId="2C2FE35B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544B7" w:rsidRPr="00F21E1C" w14:paraId="555131DA" w14:textId="77777777" w:rsidTr="00F544B7">
        <w:tc>
          <w:tcPr>
            <w:tcW w:w="9396" w:type="dxa"/>
          </w:tcPr>
          <w:p w14:paraId="655E89F7" w14:textId="77777777" w:rsidR="006460B8" w:rsidRPr="00C96228" w:rsidRDefault="006460B8" w:rsidP="006460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325248B8" w14:textId="12F89450" w:rsidR="006460B8" w:rsidRPr="006460B8" w:rsidRDefault="006460B8" w:rsidP="006460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96228">
              <w:rPr>
                <w:rFonts w:ascii="Arial" w:hAnsi="Arial" w:cs="Arial"/>
                <w:b/>
                <w:bCs/>
                <w:sz w:val="20"/>
                <w:lang w:val="en-US"/>
              </w:rPr>
              <w:t>Notice:</w:t>
            </w:r>
          </w:p>
          <w:p w14:paraId="6E092423" w14:textId="5D579CAF" w:rsidR="00F544B7" w:rsidRDefault="006460B8" w:rsidP="00F544B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6460B8">
              <w:rPr>
                <w:rFonts w:ascii="Arial" w:hAnsi="Arial" w:cs="Arial"/>
                <w:sz w:val="20"/>
                <w:lang w:val="en-US"/>
              </w:rPr>
              <w:t xml:space="preserve">This document supersedes and replaces the information previously published on January 5, 2026, to </w:t>
            </w:r>
            <w:r w:rsidR="00797E53">
              <w:rPr>
                <w:rFonts w:ascii="Arial" w:hAnsi="Arial" w:cs="Arial"/>
                <w:sz w:val="20"/>
                <w:lang w:val="en-US"/>
              </w:rPr>
              <w:t>account for</w:t>
            </w:r>
            <w:r w:rsidRPr="006460B8">
              <w:rPr>
                <w:rFonts w:ascii="Arial" w:hAnsi="Arial" w:cs="Arial"/>
                <w:sz w:val="20"/>
                <w:lang w:val="en-US"/>
              </w:rPr>
              <w:t xml:space="preserve"> the </w:t>
            </w:r>
            <w:r w:rsidR="00797E53">
              <w:rPr>
                <w:rFonts w:ascii="Arial" w:hAnsi="Arial" w:cs="Arial"/>
                <w:sz w:val="20"/>
                <w:lang w:val="en-US"/>
              </w:rPr>
              <w:t xml:space="preserve">earlier </w:t>
            </w:r>
            <w:r w:rsidRPr="006460B8">
              <w:rPr>
                <w:rFonts w:ascii="Arial" w:hAnsi="Arial" w:cs="Arial"/>
                <w:sz w:val="20"/>
                <w:lang w:val="en-US"/>
              </w:rPr>
              <w:t xml:space="preserve">exercise of </w:t>
            </w:r>
            <w:r w:rsidR="00A71B27">
              <w:rPr>
                <w:rFonts w:ascii="Arial" w:hAnsi="Arial" w:cs="Arial"/>
                <w:sz w:val="20"/>
                <w:lang w:val="en-US"/>
              </w:rPr>
              <w:t>various</w:t>
            </w:r>
            <w:r w:rsidR="00797E5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96228">
              <w:rPr>
                <w:rFonts w:ascii="Arial" w:hAnsi="Arial" w:cs="Arial"/>
                <w:sz w:val="20"/>
                <w:lang w:val="en-US"/>
              </w:rPr>
              <w:t>securities</w:t>
            </w:r>
            <w:r w:rsidR="00A71B27">
              <w:rPr>
                <w:rFonts w:ascii="Arial" w:hAnsi="Arial" w:cs="Arial"/>
                <w:sz w:val="20"/>
                <w:lang w:val="en-US"/>
              </w:rPr>
              <w:t xml:space="preserve"> instruments</w:t>
            </w:r>
            <w:r w:rsidR="00797E53"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6460B8">
              <w:rPr>
                <w:rFonts w:ascii="Arial" w:hAnsi="Arial" w:cs="Arial"/>
                <w:sz w:val="20"/>
                <w:lang w:val="en-US"/>
              </w:rPr>
              <w:t>in connection with the Company’s employee s</w:t>
            </w:r>
            <w:r w:rsidR="00C96228">
              <w:rPr>
                <w:rFonts w:ascii="Arial" w:hAnsi="Arial" w:cs="Arial"/>
                <w:sz w:val="20"/>
                <w:lang w:val="en-US"/>
              </w:rPr>
              <w:t>tock</w:t>
            </w:r>
            <w:r w:rsidRPr="006460B8">
              <w:rPr>
                <w:rFonts w:ascii="Arial" w:hAnsi="Arial" w:cs="Arial"/>
                <w:sz w:val="20"/>
                <w:lang w:val="en-US"/>
              </w:rPr>
              <w:t xml:space="preserve"> ownership plans and </w:t>
            </w:r>
            <w:r w:rsidR="00797E53">
              <w:rPr>
                <w:rFonts w:ascii="Arial" w:hAnsi="Arial" w:cs="Arial"/>
                <w:sz w:val="20"/>
                <w:lang w:val="en-US"/>
              </w:rPr>
              <w:t xml:space="preserve">warrants from </w:t>
            </w:r>
            <w:r w:rsidR="00F21E1C">
              <w:rPr>
                <w:rFonts w:ascii="Arial" w:hAnsi="Arial" w:cs="Arial"/>
                <w:sz w:val="20"/>
                <w:lang w:val="en-US"/>
              </w:rPr>
              <w:t xml:space="preserve">a </w:t>
            </w:r>
            <w:r w:rsidR="00797E53">
              <w:rPr>
                <w:rFonts w:ascii="Arial" w:hAnsi="Arial" w:cs="Arial"/>
                <w:sz w:val="20"/>
                <w:lang w:val="en-US"/>
              </w:rPr>
              <w:t>previous financing transaction</w:t>
            </w:r>
            <w:r w:rsidRPr="006460B8">
              <w:rPr>
                <w:rFonts w:ascii="Arial" w:hAnsi="Arial" w:cs="Arial"/>
                <w:sz w:val="20"/>
                <w:lang w:val="en-US"/>
              </w:rPr>
              <w:t>.</w:t>
            </w:r>
          </w:p>
          <w:p w14:paraId="071BEC9F" w14:textId="67C60247" w:rsidR="006460B8" w:rsidRPr="006460B8" w:rsidRDefault="006460B8" w:rsidP="00F544B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4B38924C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0"/>
          <w:lang w:val="en-GB"/>
        </w:rPr>
      </w:pPr>
    </w:p>
    <w:p w14:paraId="54513C35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0"/>
          <w:lang w:val="en-GB"/>
        </w:rPr>
      </w:pPr>
    </w:p>
    <w:p w14:paraId="4B7FABD9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Market</w:t>
      </w:r>
      <w:proofErr w:type="spellEnd"/>
      <w:r>
        <w:rPr>
          <w:rFonts w:ascii="Arial" w:hAnsi="Arial" w:cs="Arial"/>
          <w:bCs/>
          <w:sz w:val="20"/>
        </w:rPr>
        <w:t xml:space="preserve"> : </w:t>
      </w:r>
      <w:r w:rsidRPr="00F05823">
        <w:rPr>
          <w:rFonts w:ascii="Arial" w:hAnsi="Arial" w:cs="Arial"/>
          <w:bCs/>
          <w:sz w:val="20"/>
        </w:rPr>
        <w:t xml:space="preserve">NYSE Euronext Paris </w:t>
      </w:r>
    </w:p>
    <w:p w14:paraId="7BF08190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sz w:val="20"/>
        </w:rPr>
      </w:pPr>
      <w:r w:rsidRPr="00F05823">
        <w:rPr>
          <w:rFonts w:ascii="Arial" w:hAnsi="Arial" w:cs="Arial"/>
          <w:bCs/>
          <w:sz w:val="20"/>
        </w:rPr>
        <w:t>ISIN</w:t>
      </w:r>
      <w:r>
        <w:rPr>
          <w:rFonts w:ascii="Arial" w:hAnsi="Arial" w:cs="Arial"/>
          <w:bCs/>
          <w:sz w:val="20"/>
        </w:rPr>
        <w:t xml:space="preserve"> Code</w:t>
      </w:r>
      <w:r w:rsidRPr="00F05823">
        <w:rPr>
          <w:rFonts w:ascii="Arial" w:hAnsi="Arial" w:cs="Arial"/>
          <w:bCs/>
          <w:sz w:val="20"/>
        </w:rPr>
        <w:t xml:space="preserve">: </w:t>
      </w:r>
      <w:r w:rsidRPr="000D4EA4">
        <w:rPr>
          <w:rFonts w:ascii="Arial" w:hAnsi="Arial" w:cs="Arial"/>
          <w:bCs/>
          <w:sz w:val="20"/>
        </w:rPr>
        <w:t>FR 0010417345</w:t>
      </w:r>
    </w:p>
    <w:p w14:paraId="54A77A6E" w14:textId="77777777" w:rsidR="000B4E0D" w:rsidRPr="00083DBA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0"/>
        </w:rPr>
      </w:pPr>
    </w:p>
    <w:p w14:paraId="3810B763" w14:textId="77777777" w:rsidR="000B4E0D" w:rsidRPr="00083DBA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0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7"/>
        <w:gridCol w:w="4601"/>
      </w:tblGrid>
      <w:tr w:rsidR="000B4E0D" w:rsidRPr="00F21E1C" w14:paraId="29B9D57D" w14:textId="77777777" w:rsidTr="003E107C">
        <w:tc>
          <w:tcPr>
            <w:tcW w:w="2622" w:type="dxa"/>
            <w:vAlign w:val="center"/>
          </w:tcPr>
          <w:p w14:paraId="74581A3E" w14:textId="77777777" w:rsidR="000B4E0D" w:rsidRDefault="000B4E0D" w:rsidP="003E10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2F3AF16" w14:textId="77777777" w:rsidR="000B4E0D" w:rsidRPr="00083DBA" w:rsidRDefault="000B4E0D" w:rsidP="003E10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83DBA">
              <w:rPr>
                <w:rFonts w:ascii="Arial" w:hAnsi="Arial" w:cs="Arial"/>
                <w:b/>
                <w:bCs/>
                <w:sz w:val="20"/>
              </w:rPr>
              <w:t xml:space="preserve">Date </w:t>
            </w:r>
          </w:p>
          <w:p w14:paraId="0990D4DC" w14:textId="77777777" w:rsidR="000B4E0D" w:rsidRPr="00083DBA" w:rsidRDefault="000B4E0D" w:rsidP="003E10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7" w:type="dxa"/>
            <w:vAlign w:val="center"/>
          </w:tcPr>
          <w:p w14:paraId="1442A4C3" w14:textId="77777777" w:rsidR="000B4E0D" w:rsidRPr="00083DBA" w:rsidRDefault="000B4E0D" w:rsidP="003E10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shares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601" w:type="dxa"/>
            <w:vAlign w:val="center"/>
          </w:tcPr>
          <w:p w14:paraId="5BB78017" w14:textId="77777777" w:rsidR="000B4E0D" w:rsidRPr="00F05823" w:rsidRDefault="000B4E0D" w:rsidP="003E10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05823">
              <w:rPr>
                <w:rFonts w:ascii="Arial" w:hAnsi="Arial" w:cs="Arial"/>
                <w:b/>
                <w:bCs/>
                <w:sz w:val="20"/>
                <w:lang w:val="en-GB"/>
              </w:rPr>
              <w:t>Total number of voting rights</w:t>
            </w:r>
          </w:p>
        </w:tc>
      </w:tr>
      <w:tr w:rsidR="000B4E0D" w:rsidRPr="00AC2CB9" w14:paraId="4459C8A4" w14:textId="77777777" w:rsidTr="003E107C">
        <w:trPr>
          <w:cantSplit/>
        </w:trPr>
        <w:tc>
          <w:tcPr>
            <w:tcW w:w="2622" w:type="dxa"/>
            <w:vMerge w:val="restart"/>
            <w:vAlign w:val="center"/>
          </w:tcPr>
          <w:p w14:paraId="593FDBCC" w14:textId="059820C3" w:rsidR="000B4E0D" w:rsidRPr="00083DBA" w:rsidRDefault="00FA0E64" w:rsidP="003E10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  <w:r w:rsidR="00AC2CB9">
              <w:rPr>
                <w:rFonts w:ascii="Arial" w:hAnsi="Arial" w:cs="Arial"/>
                <w:bCs/>
                <w:sz w:val="20"/>
              </w:rPr>
              <w:t>2</w:t>
            </w:r>
            <w:r w:rsidR="000B4E0D">
              <w:rPr>
                <w:rFonts w:ascii="Arial" w:hAnsi="Arial" w:cs="Arial"/>
                <w:bCs/>
                <w:sz w:val="20"/>
              </w:rPr>
              <w:t>/</w:t>
            </w:r>
            <w:r w:rsidR="00454B0E">
              <w:rPr>
                <w:rFonts w:ascii="Arial" w:hAnsi="Arial" w:cs="Arial"/>
                <w:bCs/>
                <w:sz w:val="20"/>
              </w:rPr>
              <w:t>3</w:t>
            </w:r>
            <w:r w:rsidR="00AC2CB9">
              <w:rPr>
                <w:rFonts w:ascii="Arial" w:hAnsi="Arial" w:cs="Arial"/>
                <w:bCs/>
                <w:sz w:val="20"/>
              </w:rPr>
              <w:t>1</w:t>
            </w:r>
            <w:r w:rsidR="000B4E0D">
              <w:rPr>
                <w:rFonts w:ascii="Arial" w:hAnsi="Arial" w:cs="Arial"/>
                <w:bCs/>
                <w:sz w:val="20"/>
              </w:rPr>
              <w:t>/202</w:t>
            </w:r>
            <w:r w:rsidR="00A15C76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2417" w:type="dxa"/>
            <w:vMerge w:val="restart"/>
            <w:vAlign w:val="center"/>
          </w:tcPr>
          <w:p w14:paraId="01E01494" w14:textId="1B05C95C" w:rsidR="000B4E0D" w:rsidRPr="00F544B7" w:rsidRDefault="006460B8" w:rsidP="00AC2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</w:rPr>
              <w:t>235,670,864</w:t>
            </w:r>
          </w:p>
        </w:tc>
        <w:tc>
          <w:tcPr>
            <w:tcW w:w="4601" w:type="dxa"/>
            <w:vAlign w:val="center"/>
          </w:tcPr>
          <w:p w14:paraId="0C8221B9" w14:textId="77777777" w:rsidR="000B4E0D" w:rsidRPr="00946E2D" w:rsidRDefault="000B4E0D" w:rsidP="003E10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656F2B02" w14:textId="77777777" w:rsidR="00F544B7" w:rsidRDefault="000B4E0D" w:rsidP="00F544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US"/>
              </w:rPr>
            </w:pPr>
            <w:r w:rsidRPr="00946E2D">
              <w:rPr>
                <w:rFonts w:ascii="Arial" w:hAnsi="Arial" w:cs="Arial"/>
                <w:sz w:val="20"/>
                <w:lang w:val="en-GB"/>
              </w:rPr>
              <w:t>Total gross of voting rights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  <w:r w:rsidRPr="000B3A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86B1614" w14:textId="77777777" w:rsidR="00F544B7" w:rsidRDefault="006460B8" w:rsidP="00F544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235,670,864</w:t>
            </w:r>
          </w:p>
          <w:p w14:paraId="7DD736AF" w14:textId="43DB36B9" w:rsidR="006460B8" w:rsidRPr="00F544B7" w:rsidRDefault="006460B8" w:rsidP="00F544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0B4E0D" w:rsidRPr="00C57060" w14:paraId="30546E63" w14:textId="77777777" w:rsidTr="003E107C">
        <w:trPr>
          <w:cantSplit/>
        </w:trPr>
        <w:tc>
          <w:tcPr>
            <w:tcW w:w="2622" w:type="dxa"/>
            <w:vMerge/>
          </w:tcPr>
          <w:p w14:paraId="4373192A" w14:textId="77777777" w:rsidR="000B4E0D" w:rsidRPr="00F05823" w:rsidRDefault="000B4E0D" w:rsidP="003E107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417" w:type="dxa"/>
            <w:vMerge/>
          </w:tcPr>
          <w:p w14:paraId="31993514" w14:textId="77777777" w:rsidR="000B4E0D" w:rsidRPr="00F05823" w:rsidRDefault="000B4E0D" w:rsidP="003E107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4601" w:type="dxa"/>
            <w:vAlign w:val="center"/>
          </w:tcPr>
          <w:p w14:paraId="5D960B6B" w14:textId="77777777" w:rsidR="000B4E0D" w:rsidRPr="00946E2D" w:rsidRDefault="000B4E0D" w:rsidP="003E10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267015B7" w14:textId="6439D01C" w:rsidR="00A15C76" w:rsidRDefault="000B4E0D" w:rsidP="00463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46E2D">
              <w:rPr>
                <w:rFonts w:ascii="Arial" w:hAnsi="Arial" w:cs="Arial"/>
                <w:sz w:val="20"/>
                <w:lang w:val="en-GB"/>
              </w:rPr>
              <w:t>Total net* of voting rights: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35D2FF39" w14:textId="7F2E8F8C" w:rsidR="006460B8" w:rsidRDefault="006460B8" w:rsidP="006460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B50F6A">
              <w:rPr>
                <w:rFonts w:ascii="Arial" w:hAnsi="Arial" w:cs="Arial"/>
                <w:sz w:val="20"/>
              </w:rPr>
              <w:t>235</w:t>
            </w:r>
            <w:r>
              <w:rPr>
                <w:rFonts w:ascii="Arial" w:hAnsi="Arial" w:cs="Arial"/>
                <w:sz w:val="20"/>
              </w:rPr>
              <w:t>,</w:t>
            </w:r>
            <w:r w:rsidRPr="00B50F6A">
              <w:rPr>
                <w:rFonts w:ascii="Arial" w:hAnsi="Arial" w:cs="Arial"/>
                <w:sz w:val="20"/>
              </w:rPr>
              <w:t>596</w:t>
            </w:r>
            <w:r>
              <w:rPr>
                <w:rFonts w:ascii="Arial" w:hAnsi="Arial" w:cs="Arial"/>
                <w:sz w:val="20"/>
              </w:rPr>
              <w:t>,</w:t>
            </w:r>
            <w:r w:rsidRPr="00B50F6A">
              <w:rPr>
                <w:rFonts w:ascii="Arial" w:hAnsi="Arial" w:cs="Arial"/>
                <w:sz w:val="20"/>
              </w:rPr>
              <w:t>284</w:t>
            </w:r>
          </w:p>
          <w:p w14:paraId="3530E881" w14:textId="34F64E15" w:rsidR="000B4E0D" w:rsidRPr="002D3825" w:rsidRDefault="000B4E0D" w:rsidP="00A15C7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321B976B" w14:textId="77777777" w:rsidR="000B4E0D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lang w:val="en-GB"/>
        </w:rPr>
      </w:pPr>
    </w:p>
    <w:p w14:paraId="678CBA56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lang w:val="en-GB"/>
        </w:rPr>
      </w:pPr>
    </w:p>
    <w:p w14:paraId="1CD5669C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lang w:val="en-GB"/>
        </w:rPr>
      </w:pPr>
    </w:p>
    <w:p w14:paraId="41CE41B1" w14:textId="1FB1208B" w:rsidR="000B4E0D" w:rsidRPr="00746DD2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lang w:val="en-US"/>
        </w:rPr>
      </w:pPr>
      <w:r w:rsidRPr="00F05823">
        <w:rPr>
          <w:rFonts w:ascii="Arial" w:hAnsi="Arial" w:cs="Arial"/>
          <w:sz w:val="20"/>
          <w:lang w:val="en-GB"/>
        </w:rPr>
        <w:t>*</w:t>
      </w:r>
      <w:r>
        <w:rPr>
          <w:rFonts w:ascii="Arial" w:hAnsi="Arial" w:cs="Arial"/>
          <w:sz w:val="20"/>
          <w:lang w:val="en-GB"/>
        </w:rPr>
        <w:t xml:space="preserve"> Net </w:t>
      </w:r>
      <w:r w:rsidR="006903B2">
        <w:rPr>
          <w:rFonts w:ascii="Arial" w:hAnsi="Arial" w:cs="Arial"/>
          <w:sz w:val="20"/>
          <w:lang w:val="en-GB"/>
        </w:rPr>
        <w:t>t</w:t>
      </w:r>
      <w:r>
        <w:rPr>
          <w:rFonts w:ascii="Arial" w:hAnsi="Arial" w:cs="Arial"/>
          <w:sz w:val="20"/>
          <w:lang w:val="en-GB"/>
        </w:rPr>
        <w:t xml:space="preserve">otal </w:t>
      </w:r>
      <w:r w:rsidRPr="00F05823">
        <w:rPr>
          <w:rFonts w:ascii="Arial" w:hAnsi="Arial" w:cs="Arial"/>
          <w:sz w:val="20"/>
          <w:lang w:val="en-GB"/>
        </w:rPr>
        <w:t xml:space="preserve">= total number of voting rights attached to shares – shares </w:t>
      </w:r>
      <w:r>
        <w:rPr>
          <w:rFonts w:ascii="Arial" w:hAnsi="Arial" w:cs="Arial"/>
          <w:sz w:val="20"/>
          <w:lang w:val="en-GB"/>
        </w:rPr>
        <w:t>without voting rights</w:t>
      </w:r>
    </w:p>
    <w:p w14:paraId="20BB0708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lang w:val="en-GB"/>
        </w:rPr>
      </w:pPr>
    </w:p>
    <w:p w14:paraId="42098EAE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lang w:val="en-GB"/>
        </w:rPr>
      </w:pPr>
    </w:p>
    <w:p w14:paraId="03B37BB6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0"/>
          <w:lang w:val="en-GB"/>
        </w:rPr>
      </w:pPr>
    </w:p>
    <w:p w14:paraId="179DA812" w14:textId="77777777" w:rsidR="000B4E0D" w:rsidRPr="00F05823" w:rsidRDefault="000B4E0D" w:rsidP="000B4E0D">
      <w:pPr>
        <w:autoSpaceDE w:val="0"/>
        <w:autoSpaceDN w:val="0"/>
        <w:adjustRightInd w:val="0"/>
        <w:spacing w:line="240" w:lineRule="auto"/>
        <w:jc w:val="center"/>
        <w:rPr>
          <w:lang w:val="en-GB"/>
        </w:rPr>
      </w:pPr>
    </w:p>
    <w:p w14:paraId="164581CC" w14:textId="77777777" w:rsidR="000B4E0D" w:rsidRPr="00840F2E" w:rsidRDefault="000B4E0D" w:rsidP="000B4E0D">
      <w:pPr>
        <w:rPr>
          <w:lang w:val="en-US"/>
        </w:rPr>
      </w:pPr>
    </w:p>
    <w:p w14:paraId="03913EFD" w14:textId="77777777" w:rsidR="000B4E0D" w:rsidRPr="00467C4D" w:rsidRDefault="000B4E0D" w:rsidP="000B4E0D">
      <w:pPr>
        <w:rPr>
          <w:lang w:val="en-US"/>
        </w:rPr>
      </w:pPr>
    </w:p>
    <w:p w14:paraId="38370EA2" w14:textId="77777777" w:rsidR="00FA710C" w:rsidRPr="000B4E0D" w:rsidRDefault="00FA710C">
      <w:pPr>
        <w:rPr>
          <w:lang w:val="en-US"/>
        </w:rPr>
      </w:pPr>
    </w:p>
    <w:sectPr w:rsidR="00FA710C" w:rsidRPr="000B4E0D" w:rsidSect="000B4E0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0D"/>
    <w:rsid w:val="000B4E0D"/>
    <w:rsid w:val="00170034"/>
    <w:rsid w:val="00175D1E"/>
    <w:rsid w:val="003C11F8"/>
    <w:rsid w:val="00454B0E"/>
    <w:rsid w:val="004636EB"/>
    <w:rsid w:val="004A6F2D"/>
    <w:rsid w:val="004B68DD"/>
    <w:rsid w:val="00512E62"/>
    <w:rsid w:val="005763B9"/>
    <w:rsid w:val="005E38C2"/>
    <w:rsid w:val="006460B8"/>
    <w:rsid w:val="006903B2"/>
    <w:rsid w:val="006D360B"/>
    <w:rsid w:val="00797E53"/>
    <w:rsid w:val="007A6A06"/>
    <w:rsid w:val="00896433"/>
    <w:rsid w:val="008B4A4F"/>
    <w:rsid w:val="00923ED3"/>
    <w:rsid w:val="00A0144B"/>
    <w:rsid w:val="00A15C76"/>
    <w:rsid w:val="00A71B27"/>
    <w:rsid w:val="00AB6015"/>
    <w:rsid w:val="00AC2CB9"/>
    <w:rsid w:val="00AD412B"/>
    <w:rsid w:val="00B95DEE"/>
    <w:rsid w:val="00C00177"/>
    <w:rsid w:val="00C57060"/>
    <w:rsid w:val="00C96228"/>
    <w:rsid w:val="00DD69DA"/>
    <w:rsid w:val="00F145AE"/>
    <w:rsid w:val="00F21E1C"/>
    <w:rsid w:val="00F544B7"/>
    <w:rsid w:val="00FA0E64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3EB1"/>
  <w15:chartTrackingRefBased/>
  <w15:docId w15:val="{BC477A7D-8F4F-4A1C-8D5E-C52B259C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0D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B4E0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4E0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4E0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4E0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E0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E0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E0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E0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E0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4E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4E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4E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4E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4E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4E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4E0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B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E0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B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4E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B4E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4E0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B4E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E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4E0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5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Matheo Le Goff</dc:creator>
  <cp:keywords/>
  <dc:description/>
  <cp:lastModifiedBy>Pauline Parant</cp:lastModifiedBy>
  <cp:revision>5</cp:revision>
  <dcterms:created xsi:type="dcterms:W3CDTF">2026-01-09T13:19:00Z</dcterms:created>
  <dcterms:modified xsi:type="dcterms:W3CDTF">2026-01-12T09:48:00Z</dcterms:modified>
</cp:coreProperties>
</file>